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药用辅料（辛酸钠、冰醋酸等）</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：药用辅料（辛酸钠、冰醋酸等）采购项目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拟采购辛酸钠（药用级500g/袋）630袋，冰醋酸（药用级2.5L/桶）1300桶，醋酸钠（药用级1000g/袋）400袋。</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w:t>
      </w:r>
      <w:bookmarkStart w:id="0" w:name="_GoBack"/>
      <w:bookmarkEnd w:id="0"/>
      <w:r>
        <w:rPr>
          <w:rFonts w:asciiTheme="minorEastAsia" w:hAnsiTheme="minorEastAsia"/>
        </w:rPr>
        <w:t>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2037AA"/>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381D19"/>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2022-12-15T06:58:58Z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63C0F027BE8543489D93C8DA169B0210</vt:lpwstr>
  </property>
</Properties>
</file>