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微生物检测室改造工程项目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：微生物检测室改造工程项目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国药集团贵州血液制品有限公司根据工作需要，拟近期招议标公司质量控制室的微生物检测室改造工程。</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5</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2021-07-29T08:01:13Z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