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32"/>
          <w:lang w:val="en-US" w:eastAsia="zh-CN"/>
        </w:rPr>
      </w:pPr>
    </w:p>
    <w:p>
      <w:pPr>
        <w:jc w:val="center"/>
        <w:rPr>
          <w:rFonts w:hint="eastAsia"/>
          <w:b/>
          <w:bCs/>
          <w:sz w:val="32"/>
          <w:szCs w:val="40"/>
          <w:lang w:val="en-US" w:eastAsia="zh-CN"/>
        </w:rPr>
      </w:pPr>
      <w:r>
        <w:rPr>
          <w:rFonts w:hint="eastAsia"/>
          <w:b/>
          <w:bCs/>
          <w:sz w:val="32"/>
          <w:szCs w:val="40"/>
          <w:lang w:val="en-US" w:eastAsia="zh-CN"/>
        </w:rPr>
        <w:t>关于国药中生上海血制云南生物制品产业化基地</w:t>
      </w:r>
    </w:p>
    <w:p>
      <w:pPr>
        <w:jc w:val="center"/>
        <w:rPr>
          <w:rFonts w:hint="eastAsia"/>
          <w:b/>
          <w:bCs/>
          <w:sz w:val="32"/>
          <w:szCs w:val="40"/>
          <w:lang w:val="en-US" w:eastAsia="zh-CN"/>
        </w:rPr>
      </w:pPr>
      <w:r>
        <w:rPr>
          <w:rFonts w:hint="eastAsia"/>
          <w:b/>
          <w:bCs/>
          <w:sz w:val="32"/>
          <w:szCs w:val="40"/>
          <w:lang w:val="en-US" w:eastAsia="zh-CN"/>
        </w:rPr>
        <w:t>电子天平购置事项采购公告澄清变更公告</w:t>
      </w:r>
    </w:p>
    <w:p>
      <w:pPr>
        <w:jc w:val="center"/>
        <w:rPr>
          <w:rFonts w:hint="eastAsia"/>
          <w:b/>
          <w:bCs/>
          <w:sz w:val="32"/>
          <w:szCs w:val="40"/>
          <w:lang w:val="en-US" w:eastAsia="zh-CN"/>
        </w:rPr>
      </w:pPr>
      <w:bookmarkStart w:id="0" w:name="_GoBack"/>
      <w:bookmarkEnd w:id="0"/>
    </w:p>
    <w:p>
      <w:pPr>
        <w:numPr>
          <w:ilvl w:val="0"/>
          <w:numId w:val="1"/>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司于2022年3月16日挂网的电子天平购置事项，现采购内容变更为：国药中生上海血制云南生物制品产业化基地为保证云南项目正常运行，需采购电子天平13台，台秤15台。具体用户需求参数，请从商务负责人毛老师处获取相关文件。</w:t>
      </w:r>
    </w:p>
    <w:p>
      <w:pPr>
        <w:numPr>
          <w:ilvl w:val="0"/>
          <w:numId w:val="1"/>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投标截止期变更为：2022年3月23日16:00</w:t>
      </w:r>
    </w:p>
    <w:p>
      <w:pPr>
        <w:numPr>
          <w:ilvl w:val="0"/>
          <w:numId w:val="1"/>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其余内容均保持不变。</w:t>
      </w:r>
    </w:p>
    <w:p>
      <w:pPr>
        <w:numPr>
          <w:ilvl w:val="0"/>
          <w:numId w:val="0"/>
        </w:numPr>
        <w:jc w:val="both"/>
        <w:rPr>
          <w:rFonts w:hint="eastAsia" w:asciiTheme="minorEastAsia" w:hAnsiTheme="minorEastAsia" w:eastAsiaTheme="minorEastAsia" w:cstheme="minorEastAsia"/>
          <w:sz w:val="28"/>
          <w:szCs w:val="28"/>
          <w:lang w:val="en-US" w:eastAsia="zh-CN"/>
        </w:rPr>
      </w:pPr>
    </w:p>
    <w:p>
      <w:pPr>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国药集团上海血液制品有限公司</w:t>
      </w:r>
    </w:p>
    <w:p>
      <w:pPr>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2022年3月17日</w:t>
      </w:r>
    </w:p>
    <w:p>
      <w:pPr>
        <w:jc w:val="both"/>
        <w:rPr>
          <w:rFonts w:hint="eastAsia"/>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yIconfont">
    <w:altName w:val="Segoe Print"/>
    <w:panose1 w:val="00000000000000000000"/>
    <w:charset w:val="00"/>
    <w:family w:val="auto"/>
    <w:pitch w:val="default"/>
    <w:sig w:usb0="00000000" w:usb1="00000000" w:usb2="00000000" w:usb3="00000000" w:csb0="00000000" w:csb1="00000000"/>
  </w:font>
  <w:font w:name="vportal">
    <w:altName w:val="Segoe Print"/>
    <w:panose1 w:val="00000000000000000000"/>
    <w:charset w:val="00"/>
    <w:family w:val="auto"/>
    <w:pitch w:val="default"/>
    <w:sig w:usb0="00000000" w:usb1="00000000" w:usb2="00000000" w:usb3="00000000" w:csb0="00000000" w:csb1="00000000"/>
  </w:font>
  <w:font w:name="syDoc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91C8"/>
    <w:multiLevelType w:val="singleLevel"/>
    <w:tmpl w:val="623291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4C5D76"/>
    <w:rsid w:val="318E387D"/>
    <w:rsid w:val="397D70D5"/>
    <w:rsid w:val="476A4103"/>
    <w:rsid w:val="4C4239CC"/>
    <w:rsid w:val="5DC76358"/>
    <w:rsid w:val="61385836"/>
    <w:rsid w:val="69893F73"/>
    <w:rsid w:val="6B5C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2022-03-17T02:06:13Z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